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585E" w14:textId="78FBAC1D" w:rsidR="00CE0C11" w:rsidRDefault="00E65A9B" w:rsidP="00CE0C11">
      <w:pPr>
        <w:shd w:val="clear" w:color="auto" w:fill="FFFFFF"/>
        <w:spacing w:line="240" w:lineRule="atLeast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</w:t>
      </w:r>
      <w:r w:rsidR="00CE0C11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CONSULTA PÚBLICA A LA ELABORACIÓN DEL PROYECTO DE ORDEN SOBRE </w:t>
      </w:r>
      <w:r w:rsidR="00BA6B64">
        <w:rPr>
          <w:rFonts w:ascii="Arial" w:hAnsi="Arial" w:cs="Arial"/>
          <w:b/>
          <w:iCs/>
          <w:sz w:val="22"/>
          <w:szCs w:val="22"/>
          <w:lang w:val="es-ES" w:eastAsia="es-ES"/>
        </w:rPr>
        <w:t>DETERMINACIÓN DE</w:t>
      </w:r>
      <w:r w:rsidR="00CE0C11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LOS PRECIOS MÁXIMOS DE LAS VIVIENDAS DE PROTECCIÓN OFICIAL. </w:t>
      </w:r>
    </w:p>
    <w:p w14:paraId="6E53E404" w14:textId="77777777" w:rsidR="00CE0C11" w:rsidRDefault="00CE0C11" w:rsidP="00CE0C11">
      <w:pPr>
        <w:shd w:val="clear" w:color="auto" w:fill="FFFFFF"/>
        <w:spacing w:line="240" w:lineRule="atLeast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p w14:paraId="6DCBB0AA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El Departamento de Planificación Territorial, Vivienda y Transportes considera oportuno la elaboración de una disposición de carácter general para regular los precios máximos de las viviendas de protección oficial. </w:t>
      </w:r>
    </w:p>
    <w:p w14:paraId="107DFC78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4C4B2F01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De conformidad con lo establecido en el apartado 1 del artículo 133 de la Ley 39/2015, de 1 de octubre del Procedimiento Administrativo Común de las Administraciones Públicas, con carácter previo a la elaboración del proyecto o anteproyecto de ley o de reglamento, se sustanciará una consulta pública, a través del portal web de la Administración competente en la que se recabará la opinión de los sujetos y de las organizaciones más representativas potencialmente afectados por la futura norma acerca de:</w:t>
      </w:r>
    </w:p>
    <w:p w14:paraId="7B572807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59A79F9C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a) Los problemas que se pretenden solucionar con la iniciativa.</w:t>
      </w:r>
    </w:p>
    <w:p w14:paraId="0EA3024F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b)  La necesidad y oportunidad de su aprobación.</w:t>
      </w:r>
    </w:p>
    <w:p w14:paraId="1E9C53FD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c) Los objetivos de la norma.</w:t>
      </w:r>
    </w:p>
    <w:p w14:paraId="6E4EC8BB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d) Las posibles soluciones alternativas regulatorias y no regulatorias.</w:t>
      </w:r>
    </w:p>
    <w:p w14:paraId="5F779422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097AD344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/>
        </w:rPr>
        <w:t>Por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ello, se pretende dar cumplimiento al citado trámite de consulta pública a la elaboración de la disposición a los efectos de que la ciudadanía y demás entidades afectadas por la norma tengan la posibilidad de participar y realizar aportaciones a la norma que se plantea.</w:t>
      </w:r>
    </w:p>
    <w:p w14:paraId="4807954B" w14:textId="77777777" w:rsidR="00CE0C11" w:rsidRDefault="00CE0C11" w:rsidP="00CE0C11">
      <w:pPr>
        <w:spacing w:line="240" w:lineRule="atLeast"/>
        <w:ind w:firstLine="567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59F5A13B" w14:textId="77777777" w:rsidR="00CE0C11" w:rsidRDefault="00CE0C11" w:rsidP="00CE0C11">
      <w:pPr>
        <w:spacing w:line="240" w:lineRule="atLeast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La consulta se abre a todas aquellas instituciones públicas y personas físicas, así como organizaciones, entidades o asociaciones que puedan considerarse afectadas por esa futura regulación normativa.</w:t>
      </w:r>
    </w:p>
    <w:p w14:paraId="3F372EDF" w14:textId="77777777" w:rsidR="00CE0C11" w:rsidRDefault="00CE0C11" w:rsidP="00CE0C11">
      <w:pPr>
        <w:spacing w:line="240" w:lineRule="atLeast"/>
        <w:ind w:firstLine="567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430E0411" w14:textId="77777777" w:rsidR="00CE0C11" w:rsidRDefault="00CE0C11" w:rsidP="00CE0C11">
      <w:pPr>
        <w:spacing w:line="240" w:lineRule="atLeast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Se publicará en el Tablón de Anuncios de la Sede Electrónica de la Administración Pública de la Comunidad Autónoma de Euskadi, en </w:t>
      </w:r>
      <w:r>
        <w:rPr>
          <w:rFonts w:ascii="Arial" w:eastAsia="Cambria" w:hAnsi="Arial" w:cs="Arial"/>
          <w:i/>
          <w:sz w:val="22"/>
          <w:szCs w:val="22"/>
          <w:lang w:eastAsia="en-US"/>
        </w:rPr>
        <w:t>Legegunea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y en </w:t>
      </w:r>
      <w:r>
        <w:rPr>
          <w:rFonts w:ascii="Arial" w:eastAsia="Cambria" w:hAnsi="Arial" w:cs="Arial"/>
          <w:i/>
          <w:sz w:val="22"/>
          <w:szCs w:val="22"/>
          <w:lang w:eastAsia="en-US"/>
        </w:rPr>
        <w:t>Irekia.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347C5497" w14:textId="77777777" w:rsidR="00CE0C11" w:rsidRDefault="00CE0C11" w:rsidP="00CE0C11">
      <w:pPr>
        <w:spacing w:line="240" w:lineRule="atLeast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0C5FACD" w14:textId="478553D2" w:rsidR="00CE0C11" w:rsidRDefault="00CE0C11" w:rsidP="00CE0C11">
      <w:pPr>
        <w:spacing w:line="240" w:lineRule="atLeast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Se establece un plazo de </w:t>
      </w:r>
      <w:r w:rsidR="00240035">
        <w:rPr>
          <w:rFonts w:ascii="Arial" w:eastAsia="Cambria" w:hAnsi="Arial" w:cs="Arial"/>
          <w:sz w:val="22"/>
          <w:szCs w:val="22"/>
          <w:lang w:eastAsia="en-US"/>
        </w:rPr>
        <w:t>quince</w:t>
      </w:r>
      <w:bookmarkStart w:id="0" w:name="_GoBack"/>
      <w:bookmarkEnd w:id="0"/>
      <w:r>
        <w:rPr>
          <w:rFonts w:ascii="Arial" w:eastAsia="Cambria" w:hAnsi="Arial" w:cs="Arial"/>
          <w:sz w:val="22"/>
          <w:szCs w:val="22"/>
          <w:lang w:eastAsia="en-US"/>
        </w:rPr>
        <w:t xml:space="preserve"> días hábiles para que las instituciones afectadas, la ciudadanía y sus entidades presenten todas aquellas sugerencias u observaciones que tengan por conveniente. </w:t>
      </w:r>
    </w:p>
    <w:p w14:paraId="66334B0F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58D36E51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</w:p>
    <w:p w14:paraId="423BFA88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  <w:r>
        <w:rPr>
          <w:rFonts w:ascii="Arial" w:hAnsi="Arial" w:cs="Arial"/>
          <w:b/>
          <w:sz w:val="22"/>
          <w:szCs w:val="22"/>
          <w:lang w:val="es-ES" w:eastAsia="es-ES"/>
        </w:rPr>
        <w:t>Los problemas que se pretenden solucionar con esta iniciativa.</w:t>
      </w:r>
    </w:p>
    <w:p w14:paraId="12071CD5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</w:p>
    <w:p w14:paraId="46FA0C19" w14:textId="77777777" w:rsidR="006A00B9" w:rsidRDefault="006A00B9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1CE4AC81" w14:textId="412D5E35" w:rsidR="006A00B9" w:rsidRPr="000A2177" w:rsidRDefault="006A00B9" w:rsidP="006A00B9">
      <w:pPr>
        <w:jc w:val="both"/>
        <w:rPr>
          <w:rFonts w:ascii="Arial" w:hAnsi="Arial" w:cs="Arial"/>
          <w:sz w:val="22"/>
          <w:szCs w:val="22"/>
        </w:rPr>
      </w:pPr>
      <w:r w:rsidRPr="000A2177">
        <w:rPr>
          <w:rFonts w:ascii="Arial" w:hAnsi="Arial" w:cs="Arial"/>
          <w:sz w:val="22"/>
          <w:szCs w:val="22"/>
        </w:rPr>
        <w:t xml:space="preserve">La Ley 3/2015, de 18 de junio, de Vivienda establece en sus artículos 21.2, 25.1 y 26.1 que mediante Orden del Consejero del Gobierno Vasco competente en materia de Vivienda se establecerán los precios, rentas y cánones de referencia a aplicar en la transmisión o puesta a disposición de terceros de las viviendas de protección pública y los alojamientos </w:t>
      </w:r>
      <w:r w:rsidR="00BA6B64" w:rsidRPr="000A2177">
        <w:rPr>
          <w:rFonts w:ascii="Arial" w:hAnsi="Arial" w:cs="Arial"/>
          <w:sz w:val="22"/>
          <w:szCs w:val="22"/>
        </w:rPr>
        <w:t>dotacionales,</w:t>
      </w:r>
      <w:r w:rsidRPr="000A2177">
        <w:rPr>
          <w:rFonts w:ascii="Arial" w:hAnsi="Arial" w:cs="Arial"/>
          <w:sz w:val="22"/>
          <w:szCs w:val="22"/>
        </w:rPr>
        <w:t xml:space="preserve"> así como de los anejos vinculados a los mismos. El precio y la renta de referencia de las viviendas de </w:t>
      </w:r>
      <w:r w:rsidR="00BA6B64" w:rsidRPr="000A2177">
        <w:rPr>
          <w:rFonts w:ascii="Arial" w:hAnsi="Arial" w:cs="Arial"/>
          <w:sz w:val="22"/>
          <w:szCs w:val="22"/>
        </w:rPr>
        <w:t>protección,</w:t>
      </w:r>
      <w:r w:rsidRPr="000A2177">
        <w:rPr>
          <w:rFonts w:ascii="Arial" w:hAnsi="Arial" w:cs="Arial"/>
          <w:sz w:val="22"/>
          <w:szCs w:val="22"/>
        </w:rPr>
        <w:t xml:space="preserve"> así como los cánones a establecer por el uso de los alojamientos dotacionales deberán tener en cuenta factores como la superficie de la vivienda, el tipo de vivienda, su ubicación geográfica, </w:t>
      </w:r>
      <w:r w:rsidRPr="000A2177">
        <w:rPr>
          <w:rFonts w:ascii="Arial" w:hAnsi="Arial" w:cs="Arial"/>
          <w:sz w:val="22"/>
          <w:szCs w:val="22"/>
        </w:rPr>
        <w:lastRenderedPageBreak/>
        <w:t xml:space="preserve">régimen de tenencia, estado de conservación y antigüedad entre otros factores que pudieran utilizarse. Así mismo, se deberán establecer los criterios de actualización de las rentas o de los cánones a aplicar, respectivamente, en las viviendas de protección y en los alojamientos dotacionales. </w:t>
      </w:r>
    </w:p>
    <w:p w14:paraId="60A9287D" w14:textId="77777777" w:rsidR="006A00B9" w:rsidRDefault="006A00B9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29925FB2" w14:textId="77777777" w:rsidR="006A00B9" w:rsidRDefault="006A00B9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35E9E0A9" w14:textId="6427E5A4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El Decreto 39/2008 de 4 de marzo, sobre régimen jurídico de las viviendas de prot</w:t>
      </w:r>
      <w:r w:rsidR="00E65A9B">
        <w:rPr>
          <w:rFonts w:ascii="Arial" w:hAnsi="Arial" w:cs="Arial"/>
          <w:sz w:val="22"/>
          <w:szCs w:val="22"/>
          <w:lang w:val="es-ES" w:eastAsia="es-ES"/>
        </w:rPr>
        <w:t>e</w:t>
      </w:r>
      <w:r>
        <w:rPr>
          <w:rFonts w:ascii="Arial" w:hAnsi="Arial" w:cs="Arial"/>
          <w:sz w:val="22"/>
          <w:szCs w:val="22"/>
          <w:lang w:val="es-ES" w:eastAsia="es-ES"/>
        </w:rPr>
        <w:t xml:space="preserve">cción oficial y medidas financieras en materia </w:t>
      </w:r>
      <w:r w:rsidR="00E65A9B">
        <w:rPr>
          <w:rFonts w:ascii="Arial" w:hAnsi="Arial" w:cs="Arial"/>
          <w:sz w:val="22"/>
          <w:szCs w:val="22"/>
          <w:lang w:val="es-ES" w:eastAsia="es-ES"/>
        </w:rPr>
        <w:t>d</w:t>
      </w:r>
      <w:r>
        <w:rPr>
          <w:rFonts w:ascii="Arial" w:hAnsi="Arial" w:cs="Arial"/>
          <w:sz w:val="22"/>
          <w:szCs w:val="22"/>
          <w:lang w:val="es-ES" w:eastAsia="es-ES"/>
        </w:rPr>
        <w:t>e viv</w:t>
      </w:r>
      <w:r w:rsidR="00E65A9B">
        <w:rPr>
          <w:rFonts w:ascii="Arial" w:hAnsi="Arial" w:cs="Arial"/>
          <w:sz w:val="22"/>
          <w:szCs w:val="22"/>
          <w:lang w:val="es-ES" w:eastAsia="es-ES"/>
        </w:rPr>
        <w:t>i</w:t>
      </w:r>
      <w:r>
        <w:rPr>
          <w:rFonts w:ascii="Arial" w:hAnsi="Arial" w:cs="Arial"/>
          <w:sz w:val="22"/>
          <w:szCs w:val="22"/>
          <w:lang w:val="es-ES" w:eastAsia="es-ES"/>
        </w:rPr>
        <w:t>enda y suelo (BOPV de 28 de marzo de 2008), dispone en su artículo 6 que los precios máximos en primeras y segundas tr</w:t>
      </w:r>
      <w:r w:rsidR="006A00B9">
        <w:rPr>
          <w:rFonts w:ascii="Arial" w:hAnsi="Arial" w:cs="Arial"/>
          <w:sz w:val="22"/>
          <w:szCs w:val="22"/>
          <w:lang w:val="es-ES" w:eastAsia="es-ES"/>
        </w:rPr>
        <w:t>a</w:t>
      </w:r>
      <w:r>
        <w:rPr>
          <w:rFonts w:ascii="Arial" w:hAnsi="Arial" w:cs="Arial"/>
          <w:sz w:val="22"/>
          <w:szCs w:val="22"/>
          <w:lang w:val="es-ES" w:eastAsia="es-ES"/>
        </w:rPr>
        <w:t>nsmisiones de vivienda de protección oficial, se calcular</w:t>
      </w:r>
      <w:r w:rsidR="00E65A9B">
        <w:rPr>
          <w:rFonts w:ascii="Arial" w:hAnsi="Arial" w:cs="Arial"/>
          <w:sz w:val="22"/>
          <w:szCs w:val="22"/>
          <w:lang w:val="es-ES" w:eastAsia="es-ES"/>
        </w:rPr>
        <w:t>án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multiplicando la superficie útil de</w:t>
      </w:r>
      <w:r w:rsidR="00E65A9B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>
        <w:rPr>
          <w:rFonts w:ascii="Arial" w:hAnsi="Arial" w:cs="Arial"/>
          <w:sz w:val="22"/>
          <w:szCs w:val="22"/>
          <w:lang w:val="es-ES" w:eastAsia="es-ES"/>
        </w:rPr>
        <w:t>la vivienda o anejo de que se trate por una cantidad que se deter</w:t>
      </w:r>
      <w:r w:rsidR="00E65A9B">
        <w:rPr>
          <w:rFonts w:ascii="Arial" w:hAnsi="Arial" w:cs="Arial"/>
          <w:sz w:val="22"/>
          <w:szCs w:val="22"/>
          <w:lang w:val="es-ES" w:eastAsia="es-ES"/>
        </w:rPr>
        <w:t>minará mediante Orden del Conse</w:t>
      </w:r>
      <w:r>
        <w:rPr>
          <w:rFonts w:ascii="Arial" w:hAnsi="Arial" w:cs="Arial"/>
          <w:sz w:val="22"/>
          <w:szCs w:val="22"/>
          <w:lang w:val="es-ES" w:eastAsia="es-ES"/>
        </w:rPr>
        <w:t>jero de</w:t>
      </w:r>
      <w:r w:rsidR="00E65A9B">
        <w:rPr>
          <w:rFonts w:ascii="Arial" w:hAnsi="Arial" w:cs="Arial"/>
          <w:sz w:val="22"/>
          <w:szCs w:val="22"/>
          <w:lang w:val="es-ES" w:eastAsia="es-ES"/>
        </w:rPr>
        <w:t xml:space="preserve"> V</w:t>
      </w:r>
      <w:r>
        <w:rPr>
          <w:rFonts w:ascii="Arial" w:hAnsi="Arial" w:cs="Arial"/>
          <w:sz w:val="22"/>
          <w:szCs w:val="22"/>
          <w:lang w:val="es-ES" w:eastAsia="es-ES"/>
        </w:rPr>
        <w:t>ivienda y Asuntos Sociales del Gobierno Va</w:t>
      </w:r>
      <w:r w:rsidR="00E65A9B">
        <w:rPr>
          <w:rFonts w:ascii="Arial" w:hAnsi="Arial" w:cs="Arial"/>
          <w:sz w:val="22"/>
          <w:szCs w:val="22"/>
          <w:lang w:val="es-ES" w:eastAsia="es-ES"/>
        </w:rPr>
        <w:t>s</w:t>
      </w:r>
      <w:r>
        <w:rPr>
          <w:rFonts w:ascii="Arial" w:hAnsi="Arial" w:cs="Arial"/>
          <w:sz w:val="22"/>
          <w:szCs w:val="22"/>
          <w:lang w:val="es-ES" w:eastAsia="es-ES"/>
        </w:rPr>
        <w:t>co</w:t>
      </w:r>
      <w:r w:rsidR="00E65A9B">
        <w:rPr>
          <w:rFonts w:ascii="Arial" w:hAnsi="Arial" w:cs="Arial"/>
          <w:sz w:val="22"/>
          <w:szCs w:val="22"/>
          <w:lang w:val="es-ES" w:eastAsia="es-ES"/>
        </w:rPr>
        <w:t>,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en función de dos variables: a) tipo de vivienda  y b) del </w:t>
      </w:r>
      <w:r w:rsidR="00BA6B64">
        <w:rPr>
          <w:rFonts w:ascii="Arial" w:hAnsi="Arial" w:cs="Arial"/>
          <w:sz w:val="22"/>
          <w:szCs w:val="22"/>
          <w:lang w:val="es-ES" w:eastAsia="es-ES"/>
        </w:rPr>
        <w:t>municipio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donde se encuentren.</w:t>
      </w:r>
    </w:p>
    <w:p w14:paraId="685C7F98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3F97E002" w14:textId="7B329EEA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Del mismo modo, se señala </w:t>
      </w:r>
      <w:r w:rsidR="00E65A9B">
        <w:rPr>
          <w:rFonts w:ascii="Arial" w:hAnsi="Arial" w:cs="Arial"/>
          <w:sz w:val="22"/>
          <w:szCs w:val="22"/>
          <w:lang w:val="es-ES" w:eastAsia="es-ES"/>
        </w:rPr>
        <w:t xml:space="preserve">el citado </w:t>
      </w:r>
      <w:r w:rsidR="00BA6B64">
        <w:rPr>
          <w:rFonts w:ascii="Arial" w:hAnsi="Arial" w:cs="Arial"/>
          <w:sz w:val="22"/>
          <w:szCs w:val="22"/>
          <w:lang w:val="es-ES" w:eastAsia="es-ES"/>
        </w:rPr>
        <w:t>artículo que</w:t>
      </w:r>
      <w:r w:rsidR="00E65A9B">
        <w:rPr>
          <w:rFonts w:ascii="Arial" w:hAnsi="Arial" w:cs="Arial"/>
          <w:sz w:val="22"/>
          <w:szCs w:val="22"/>
          <w:lang w:val="es-ES" w:eastAsia="es-ES"/>
        </w:rPr>
        <w:t xml:space="preserve"> las Órd</w:t>
      </w:r>
      <w:r>
        <w:rPr>
          <w:rFonts w:ascii="Arial" w:hAnsi="Arial" w:cs="Arial"/>
          <w:sz w:val="22"/>
          <w:szCs w:val="22"/>
          <w:lang w:val="es-ES" w:eastAsia="es-ES"/>
        </w:rPr>
        <w:t>e</w:t>
      </w:r>
      <w:r w:rsidR="00E65A9B">
        <w:rPr>
          <w:rFonts w:ascii="Arial" w:hAnsi="Arial" w:cs="Arial"/>
          <w:sz w:val="22"/>
          <w:szCs w:val="22"/>
          <w:lang w:val="es-ES" w:eastAsia="es-ES"/>
        </w:rPr>
        <w:t>nes de precios regularán las rentas máxim</w:t>
      </w:r>
      <w:r>
        <w:rPr>
          <w:rFonts w:ascii="Arial" w:hAnsi="Arial" w:cs="Arial"/>
          <w:sz w:val="22"/>
          <w:szCs w:val="22"/>
          <w:lang w:val="es-ES" w:eastAsia="es-ES"/>
        </w:rPr>
        <w:t>as aplicables a los contratos de arrendamiento.</w:t>
      </w:r>
    </w:p>
    <w:p w14:paraId="407974E2" w14:textId="77777777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34D73495" w14:textId="262E8FA1" w:rsidR="00CE0C11" w:rsidRDefault="00CE0C11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En desarrollo de dicha previsión, se dictó la Ord</w:t>
      </w:r>
      <w:r w:rsidR="00C23232">
        <w:rPr>
          <w:rFonts w:ascii="Arial" w:hAnsi="Arial" w:cs="Arial"/>
          <w:sz w:val="22"/>
          <w:szCs w:val="22"/>
          <w:lang w:val="es-ES" w:eastAsia="es-ES"/>
        </w:rPr>
        <w:t>e</w:t>
      </w:r>
      <w:r>
        <w:rPr>
          <w:rFonts w:ascii="Arial" w:hAnsi="Arial" w:cs="Arial"/>
          <w:sz w:val="22"/>
          <w:szCs w:val="22"/>
          <w:lang w:val="es-ES" w:eastAsia="es-ES"/>
        </w:rPr>
        <w:t>n</w:t>
      </w:r>
      <w:r w:rsidR="00C2323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BA6B64">
        <w:rPr>
          <w:rFonts w:ascii="Arial" w:hAnsi="Arial" w:cs="Arial"/>
          <w:sz w:val="22"/>
          <w:szCs w:val="22"/>
          <w:lang w:val="es-ES" w:eastAsia="es-ES"/>
        </w:rPr>
        <w:t>de 3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de noviembre de 2010, del Consejero de </w:t>
      </w:r>
      <w:r w:rsidR="00E65A9B">
        <w:rPr>
          <w:rFonts w:ascii="Arial" w:hAnsi="Arial" w:cs="Arial"/>
          <w:sz w:val="22"/>
          <w:szCs w:val="22"/>
          <w:lang w:val="es-ES" w:eastAsia="es-ES"/>
        </w:rPr>
        <w:t>V</w:t>
      </w:r>
      <w:r>
        <w:rPr>
          <w:rFonts w:ascii="Arial" w:hAnsi="Arial" w:cs="Arial"/>
          <w:sz w:val="22"/>
          <w:szCs w:val="22"/>
          <w:lang w:val="es-ES" w:eastAsia="es-ES"/>
        </w:rPr>
        <w:t>ivienda, Obras Públicas y Transportes, sobre determinación de los precios máximos de las viviendas de protección oficial, publicada en el BOPV de 18 de noviembre de 2010</w:t>
      </w:r>
      <w:r w:rsidR="00A57510">
        <w:rPr>
          <w:rFonts w:ascii="Arial" w:hAnsi="Arial" w:cs="Arial"/>
          <w:sz w:val="22"/>
          <w:szCs w:val="22"/>
          <w:lang w:val="es-ES" w:eastAsia="es-ES"/>
        </w:rPr>
        <w:t>.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 Posteriormente fu</w:t>
      </w:r>
      <w:r w:rsidR="00A61616">
        <w:rPr>
          <w:rFonts w:ascii="Arial" w:hAnsi="Arial" w:cs="Arial"/>
          <w:sz w:val="22"/>
          <w:szCs w:val="22"/>
          <w:lang w:val="es-ES" w:eastAsia="es-ES"/>
        </w:rPr>
        <w:t>e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 parcialmente modificada mediante la Dispo</w:t>
      </w:r>
      <w:r w:rsidR="00A61616">
        <w:rPr>
          <w:rFonts w:ascii="Arial" w:hAnsi="Arial" w:cs="Arial"/>
          <w:sz w:val="22"/>
          <w:szCs w:val="22"/>
          <w:lang w:val="es-ES" w:eastAsia="es-ES"/>
        </w:rPr>
        <w:t xml:space="preserve">sición Final Primera de la Orden </w:t>
      </w:r>
      <w:r w:rsidR="006A00B9">
        <w:rPr>
          <w:rFonts w:ascii="Arial" w:hAnsi="Arial" w:cs="Arial"/>
          <w:sz w:val="22"/>
          <w:szCs w:val="22"/>
          <w:lang w:val="es-ES" w:eastAsia="es-ES"/>
        </w:rPr>
        <w:t>de 15 de octubre de 2012, del Consejero de Vivienda, Obras Públicas y Transportes, del registro de solicita</w:t>
      </w:r>
      <w:r w:rsidR="00A61616">
        <w:rPr>
          <w:rFonts w:ascii="Arial" w:hAnsi="Arial" w:cs="Arial"/>
          <w:sz w:val="22"/>
          <w:szCs w:val="22"/>
          <w:lang w:val="es-ES" w:eastAsia="es-ES"/>
        </w:rPr>
        <w:t>ntes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 de vivienda y de los procedimientos para la adjudicación de Viv</w:t>
      </w:r>
      <w:r w:rsidR="00A61616">
        <w:rPr>
          <w:rFonts w:ascii="Arial" w:hAnsi="Arial" w:cs="Arial"/>
          <w:sz w:val="22"/>
          <w:szCs w:val="22"/>
          <w:lang w:val="es-ES" w:eastAsia="es-ES"/>
        </w:rPr>
        <w:t>ien</w:t>
      </w:r>
      <w:r w:rsidR="006A00B9">
        <w:rPr>
          <w:rFonts w:ascii="Arial" w:hAnsi="Arial" w:cs="Arial"/>
          <w:sz w:val="22"/>
          <w:szCs w:val="22"/>
          <w:lang w:val="es-ES" w:eastAsia="es-ES"/>
        </w:rPr>
        <w:t>das de</w:t>
      </w:r>
      <w:r w:rsidR="00A61616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6A00B9">
        <w:rPr>
          <w:rFonts w:ascii="Arial" w:hAnsi="Arial" w:cs="Arial"/>
          <w:sz w:val="22"/>
          <w:szCs w:val="22"/>
          <w:lang w:val="es-ES" w:eastAsia="es-ES"/>
        </w:rPr>
        <w:t>Protecc</w:t>
      </w:r>
      <w:r w:rsidR="00A61616">
        <w:rPr>
          <w:rFonts w:ascii="Arial" w:hAnsi="Arial" w:cs="Arial"/>
          <w:sz w:val="22"/>
          <w:szCs w:val="22"/>
          <w:lang w:val="es-ES" w:eastAsia="es-ES"/>
        </w:rPr>
        <w:t>i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ón Oficial y Alojamientos Dotacionales de Régimen </w:t>
      </w:r>
      <w:r w:rsidR="00BA6B64">
        <w:rPr>
          <w:rFonts w:ascii="Arial" w:hAnsi="Arial" w:cs="Arial"/>
          <w:sz w:val="22"/>
          <w:szCs w:val="22"/>
          <w:lang w:val="es-ES" w:eastAsia="es-ES"/>
        </w:rPr>
        <w:t>Autonómico</w:t>
      </w:r>
      <w:r w:rsidR="006A00B9">
        <w:rPr>
          <w:rFonts w:ascii="Arial" w:hAnsi="Arial" w:cs="Arial"/>
          <w:sz w:val="22"/>
          <w:szCs w:val="22"/>
          <w:lang w:val="es-ES" w:eastAsia="es-ES"/>
        </w:rPr>
        <w:t>, publicada en el BOPV de 31 de octubre de 2012.</w:t>
      </w:r>
    </w:p>
    <w:p w14:paraId="3F08F6FE" w14:textId="77777777" w:rsidR="00A57510" w:rsidRDefault="00A57510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55F85752" w14:textId="77777777" w:rsidR="00A57510" w:rsidRDefault="00A57510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333AD7F4" w14:textId="38DDBB79" w:rsidR="00A57510" w:rsidRDefault="00A57510" w:rsidP="00CE0C1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Desde esa fecha hasta la actualidad no se han actualizado los precios de las viviendas de protección oficial.</w:t>
      </w:r>
    </w:p>
    <w:p w14:paraId="40B5A15B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12FBF1BC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66756C52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>
        <w:rPr>
          <w:rFonts w:ascii="Arial" w:eastAsia="Calibri" w:hAnsi="Arial" w:cs="Arial"/>
          <w:b/>
          <w:sz w:val="22"/>
          <w:szCs w:val="22"/>
          <w:lang w:val="es-ES" w:eastAsia="en-US"/>
        </w:rPr>
        <w:t>Necesidad y oportunidad de su aprobación.</w:t>
      </w:r>
    </w:p>
    <w:p w14:paraId="41C97A61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730A14D7" w14:textId="1041A2B0" w:rsidR="00646D7D" w:rsidRDefault="00646D7D" w:rsidP="00646D7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Uno de los factores que motiva y justifica la necesidad de la norma se encuentra en las direct</w:t>
      </w:r>
      <w:r w:rsidR="00A61616">
        <w:rPr>
          <w:rFonts w:ascii="Arial" w:hAnsi="Arial" w:cs="Arial"/>
          <w:sz w:val="22"/>
          <w:szCs w:val="22"/>
          <w:lang w:val="es-ES" w:eastAsia="es-ES"/>
        </w:rPr>
        <w:t>r</w:t>
      </w:r>
      <w:r>
        <w:rPr>
          <w:rFonts w:ascii="Arial" w:hAnsi="Arial" w:cs="Arial"/>
          <w:sz w:val="22"/>
          <w:szCs w:val="22"/>
          <w:lang w:val="es-ES" w:eastAsia="es-ES"/>
        </w:rPr>
        <w:t>ices que marca la propia Ley 3/2015</w:t>
      </w:r>
      <w:r w:rsidR="00A61616">
        <w:rPr>
          <w:rFonts w:ascii="Arial" w:hAnsi="Arial" w:cs="Arial"/>
          <w:sz w:val="22"/>
          <w:szCs w:val="22"/>
          <w:lang w:val="es-ES" w:eastAsia="es-ES"/>
        </w:rPr>
        <w:t>,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de 18 de junio, de Vivienda, en materia de fijación de precios y rentas máximas, y ello en cuanto a la propia denominación que la Ley reserva a las viviendas de protección pública que pasan a denominarse de protección social, separándolas de </w:t>
      </w:r>
      <w:r w:rsidR="00BA6B64">
        <w:rPr>
          <w:rFonts w:ascii="Arial" w:hAnsi="Arial" w:cs="Arial"/>
          <w:sz w:val="22"/>
          <w:szCs w:val="22"/>
          <w:lang w:val="es-ES" w:eastAsia="es-ES"/>
        </w:rPr>
        <w:t>las viviendas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tasadas de régimen autonómico, tal y como se dispone en su artículo 21.1</w:t>
      </w:r>
    </w:p>
    <w:p w14:paraId="0F38B77F" w14:textId="77777777" w:rsidR="00646D7D" w:rsidRDefault="00646D7D" w:rsidP="00C2323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4ABB1D58" w14:textId="788AF6D4" w:rsidR="006A00B9" w:rsidRDefault="00646D7D" w:rsidP="00C2323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Por otra parte, y d</w:t>
      </w:r>
      <w:r w:rsidR="006A00B9">
        <w:rPr>
          <w:rFonts w:ascii="Arial" w:hAnsi="Arial" w:cs="Arial"/>
          <w:sz w:val="22"/>
          <w:szCs w:val="22"/>
          <w:lang w:val="es-ES" w:eastAsia="es-ES"/>
        </w:rPr>
        <w:t>ado el tiempo transcurrido (</w:t>
      </w:r>
      <w:r w:rsidR="00BA6B64">
        <w:rPr>
          <w:rFonts w:ascii="Arial" w:hAnsi="Arial" w:cs="Arial"/>
          <w:sz w:val="22"/>
          <w:szCs w:val="22"/>
          <w:lang w:val="es-ES" w:eastAsia="es-ES"/>
        </w:rPr>
        <w:t>más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 de 10 años) desde la última revisión de precios, procede adecuarlos a las circunstancias actuales, modulando tanto el precio de las viviendas de protección social como de </w:t>
      </w:r>
      <w:r w:rsidR="00BA6B64">
        <w:rPr>
          <w:rFonts w:ascii="Arial" w:hAnsi="Arial" w:cs="Arial"/>
          <w:sz w:val="22"/>
          <w:szCs w:val="22"/>
          <w:lang w:val="es-ES" w:eastAsia="es-ES"/>
        </w:rPr>
        <w:t>las viviendas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 tasadas de régimen autonómico a la vista de la evolución real de los costes y de la capacidad adquisitiva de </w:t>
      </w:r>
      <w:r w:rsidR="00BA6B64">
        <w:rPr>
          <w:rFonts w:ascii="Arial" w:hAnsi="Arial" w:cs="Arial"/>
          <w:sz w:val="22"/>
          <w:szCs w:val="22"/>
          <w:lang w:val="es-ES" w:eastAsia="es-ES"/>
        </w:rPr>
        <w:t>los demandantes</w:t>
      </w:r>
      <w:r w:rsidR="006A00B9">
        <w:rPr>
          <w:rFonts w:ascii="Arial" w:hAnsi="Arial" w:cs="Arial"/>
          <w:sz w:val="22"/>
          <w:szCs w:val="22"/>
          <w:lang w:val="es-ES" w:eastAsia="es-ES"/>
        </w:rPr>
        <w:t xml:space="preserve"> de vivi</w:t>
      </w:r>
      <w:r>
        <w:rPr>
          <w:rFonts w:ascii="Arial" w:hAnsi="Arial" w:cs="Arial"/>
          <w:sz w:val="22"/>
          <w:szCs w:val="22"/>
          <w:lang w:val="es-ES" w:eastAsia="es-ES"/>
        </w:rPr>
        <w:t>e</w:t>
      </w:r>
      <w:r w:rsidR="006A00B9">
        <w:rPr>
          <w:rFonts w:ascii="Arial" w:hAnsi="Arial" w:cs="Arial"/>
          <w:sz w:val="22"/>
          <w:szCs w:val="22"/>
          <w:lang w:val="es-ES" w:eastAsia="es-ES"/>
        </w:rPr>
        <w:t>ndas en cualquiera de sus regímenes.</w:t>
      </w:r>
    </w:p>
    <w:p w14:paraId="45807E6A" w14:textId="77777777" w:rsidR="006A00B9" w:rsidRDefault="006A00B9" w:rsidP="00C2323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7DE737D1" w14:textId="77777777" w:rsidR="00646D7D" w:rsidRDefault="00646D7D" w:rsidP="00C2323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76217EF1" w14:textId="77777777" w:rsidR="00C23232" w:rsidRDefault="00C23232" w:rsidP="00C2323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7E0FE686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430B9000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>
        <w:rPr>
          <w:rFonts w:ascii="Arial" w:eastAsia="Calibri" w:hAnsi="Arial" w:cs="Arial"/>
          <w:b/>
          <w:sz w:val="22"/>
          <w:szCs w:val="22"/>
          <w:lang w:val="es-ES" w:eastAsia="en-US"/>
        </w:rPr>
        <w:t>Los objetivos de la norma</w:t>
      </w:r>
    </w:p>
    <w:p w14:paraId="2DA02A71" w14:textId="77777777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460BFAA5" w14:textId="10A80C0C" w:rsidR="00646D7D" w:rsidRDefault="00646D7D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La futura Orden viene a sustituir la Orden de 3 de noviembre de 2010 y la </w:t>
      </w:r>
      <w:r w:rsidR="00BA6B64">
        <w:rPr>
          <w:rFonts w:ascii="Arial" w:eastAsia="Calibri" w:hAnsi="Arial" w:cs="Arial"/>
          <w:sz w:val="22"/>
          <w:szCs w:val="22"/>
          <w:lang w:val="es-ES" w:eastAsia="en-US"/>
        </w:rPr>
        <w:t>modificación practicada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por </w:t>
      </w:r>
      <w:r w:rsidR="00BA6B64">
        <w:rPr>
          <w:rFonts w:ascii="Arial" w:eastAsia="Calibri" w:hAnsi="Arial" w:cs="Arial"/>
          <w:sz w:val="22"/>
          <w:szCs w:val="22"/>
          <w:lang w:val="es-ES" w:eastAsia="en-US"/>
        </w:rPr>
        <w:t>la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Disposición Final Primera de la Orden de 15 de octubre de 2012, previamente mencionadas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 xml:space="preserve">, </w:t>
      </w:r>
      <w:r w:rsidR="009F7A44">
        <w:rPr>
          <w:rFonts w:ascii="Arial" w:eastAsia="Calibri" w:hAnsi="Arial" w:cs="Arial"/>
          <w:sz w:val="22"/>
          <w:szCs w:val="22"/>
          <w:lang w:val="es-ES" w:eastAsia="en-US"/>
        </w:rPr>
        <w:t>actualizando los precios para adecuarlos a las circunstancias actuales</w:t>
      </w:r>
      <w:r>
        <w:rPr>
          <w:rFonts w:ascii="Arial" w:eastAsia="Calibri" w:hAnsi="Arial" w:cs="Arial"/>
          <w:sz w:val="22"/>
          <w:szCs w:val="22"/>
          <w:lang w:val="es-ES" w:eastAsia="en-US"/>
        </w:rPr>
        <w:t>.</w:t>
      </w:r>
    </w:p>
    <w:p w14:paraId="2FCB50D2" w14:textId="77777777" w:rsidR="00646D7D" w:rsidRDefault="00646D7D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7488EDBD" w14:textId="304644D6" w:rsidR="00855FCA" w:rsidRDefault="00646D7D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>Los precios de las viviendas protegidas deben acomodarse a los costes reales de la promoción de las viviendas, sin que consuman, por ello recursos públicos</w:t>
      </w:r>
      <w:r w:rsidR="009F7A44">
        <w:rPr>
          <w:rFonts w:ascii="Arial" w:eastAsia="Calibri" w:hAnsi="Arial" w:cs="Arial"/>
          <w:sz w:val="22"/>
          <w:szCs w:val="22"/>
          <w:lang w:val="es-ES" w:eastAsia="en-US"/>
        </w:rPr>
        <w:t xml:space="preserve">, al tiempo que es necesario vincular las políticas de </w:t>
      </w:r>
      <w:r w:rsidR="00BA6B64">
        <w:rPr>
          <w:rFonts w:ascii="Arial" w:eastAsia="Calibri" w:hAnsi="Arial" w:cs="Arial"/>
          <w:sz w:val="22"/>
          <w:szCs w:val="22"/>
          <w:lang w:val="es-ES" w:eastAsia="en-US"/>
        </w:rPr>
        <w:t>vivienda a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 xml:space="preserve"> </w:t>
      </w:r>
      <w:r w:rsidR="009F7A44">
        <w:rPr>
          <w:rFonts w:ascii="Arial" w:eastAsia="Calibri" w:hAnsi="Arial" w:cs="Arial"/>
          <w:sz w:val="22"/>
          <w:szCs w:val="22"/>
          <w:lang w:val="es-ES" w:eastAsia="en-US"/>
        </w:rPr>
        <w:t>las necesidades reales de la ciudadanía en materia económica, lo que obliga a ponderar la fijación de los precios máximos a la capacidad adquisitiva de la ciudadanía.</w:t>
      </w:r>
    </w:p>
    <w:p w14:paraId="441570CF" w14:textId="367EF3A6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3F560770" w14:textId="6138134C" w:rsidR="009F7A44" w:rsidRDefault="009F7A44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Por otra parte, se pretende ajustar al alza el sistema de cálculo de los precios máximos de las viviendas para favorecer la promoción </w:t>
      </w:r>
      <w:r w:rsidR="00A61616">
        <w:rPr>
          <w:rFonts w:ascii="Arial" w:eastAsia="Calibri" w:hAnsi="Arial" w:cs="Arial"/>
          <w:sz w:val="22"/>
          <w:szCs w:val="22"/>
          <w:lang w:val="es-ES" w:eastAsia="en-US"/>
        </w:rPr>
        <w:t>de programas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con mayor número de viviendas y tamaño más reducido, frente a l</w:t>
      </w:r>
      <w:r w:rsidR="00A61616">
        <w:rPr>
          <w:rFonts w:ascii="Arial" w:eastAsia="Calibri" w:hAnsi="Arial" w:cs="Arial"/>
          <w:sz w:val="22"/>
          <w:szCs w:val="22"/>
          <w:lang w:val="es-ES" w:eastAsia="en-US"/>
        </w:rPr>
        <w:t>os programas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de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 w:eastAsia="en-US"/>
        </w:rPr>
        <w:t>menos viviendas y más gran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 xml:space="preserve">des, al tiempo </w:t>
      </w:r>
      <w:r w:rsidR="00BA6B64">
        <w:rPr>
          <w:rFonts w:ascii="Arial" w:eastAsia="Calibri" w:hAnsi="Arial" w:cs="Arial"/>
          <w:sz w:val="22"/>
          <w:szCs w:val="22"/>
          <w:lang w:val="es-ES" w:eastAsia="en-US"/>
        </w:rPr>
        <w:t>que se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 xml:space="preserve"> </w:t>
      </w:r>
      <w:r w:rsidR="00BA6B64">
        <w:rPr>
          <w:rFonts w:ascii="Arial" w:eastAsia="Calibri" w:hAnsi="Arial" w:cs="Arial"/>
          <w:sz w:val="22"/>
          <w:szCs w:val="22"/>
          <w:lang w:val="es-ES" w:eastAsia="en-US"/>
        </w:rPr>
        <w:t>revisará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 xml:space="preserve"> a la baja el precio de las viviendas protegidas de régimen tasado.</w:t>
      </w:r>
    </w:p>
    <w:p w14:paraId="3DE4F053" w14:textId="744C3182" w:rsidR="000A2177" w:rsidRDefault="000A2177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409C6988" w14:textId="43404521" w:rsidR="009F7A44" w:rsidRDefault="009F7A44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>También pretende regular el precio máximo aplicable a la figura de vivi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>e</w:t>
      </w:r>
      <w:r>
        <w:rPr>
          <w:rFonts w:ascii="Arial" w:eastAsia="Calibri" w:hAnsi="Arial" w:cs="Arial"/>
          <w:sz w:val="22"/>
          <w:szCs w:val="22"/>
          <w:lang w:val="es-ES" w:eastAsia="en-US"/>
        </w:rPr>
        <w:t>nda protegida en régimen de alquiler asequible dirigido a un colectivo que, normalmente y por e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>l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rango de sus ingresos, queda fuera del al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>q</w:t>
      </w:r>
      <w:r>
        <w:rPr>
          <w:rFonts w:ascii="Arial" w:eastAsia="Calibri" w:hAnsi="Arial" w:cs="Arial"/>
          <w:sz w:val="22"/>
          <w:szCs w:val="22"/>
          <w:lang w:val="es-ES" w:eastAsia="en-US"/>
        </w:rPr>
        <w:t>uiler social, pero que tampoco puede hacer frente a  al al</w:t>
      </w:r>
      <w:r w:rsidR="00A61616">
        <w:rPr>
          <w:rFonts w:ascii="Arial" w:eastAsia="Calibri" w:hAnsi="Arial" w:cs="Arial"/>
          <w:sz w:val="22"/>
          <w:szCs w:val="22"/>
          <w:lang w:val="es-ES" w:eastAsia="en-US"/>
        </w:rPr>
        <w:t>q</w:t>
      </w:r>
      <w:r>
        <w:rPr>
          <w:rFonts w:ascii="Arial" w:eastAsia="Calibri" w:hAnsi="Arial" w:cs="Arial"/>
          <w:sz w:val="22"/>
          <w:szCs w:val="22"/>
          <w:lang w:val="es-ES" w:eastAsia="en-US"/>
        </w:rPr>
        <w:t>uiler de mercado</w:t>
      </w:r>
      <w:r w:rsidR="000A2177">
        <w:rPr>
          <w:rFonts w:ascii="Arial" w:eastAsia="Calibri" w:hAnsi="Arial" w:cs="Arial"/>
          <w:sz w:val="22"/>
          <w:szCs w:val="22"/>
          <w:lang w:val="es-ES" w:eastAsia="en-US"/>
        </w:rPr>
        <w:t>.</w:t>
      </w:r>
    </w:p>
    <w:p w14:paraId="5A097CEF" w14:textId="77777777" w:rsidR="000A2177" w:rsidRDefault="000A2177" w:rsidP="00CE0C11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2E3A01C7" w14:textId="3D33CD77" w:rsidR="000A2177" w:rsidRDefault="000A2177" w:rsidP="000A2177">
      <w:pPr>
        <w:spacing w:line="240" w:lineRule="atLeast"/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>
        <w:rPr>
          <w:rFonts w:ascii="Arial" w:eastAsia="Calibri" w:hAnsi="Arial" w:cs="Arial"/>
          <w:sz w:val="22"/>
          <w:szCs w:val="22"/>
          <w:lang w:val="es-ES" w:eastAsia="en-US"/>
        </w:rPr>
        <w:t>Por último se actualizará el régimen de los precios de venta de las viviendas protegidas  que, temporalmente, se destina</w:t>
      </w:r>
      <w:r w:rsidR="00BA6B64">
        <w:rPr>
          <w:rFonts w:ascii="Arial" w:eastAsia="Calibri" w:hAnsi="Arial" w:cs="Arial"/>
          <w:sz w:val="22"/>
          <w:szCs w:val="22"/>
          <w:lang w:val="es-ES" w:eastAsia="en-US"/>
        </w:rPr>
        <w:t>n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a arrendamiento</w:t>
      </w:r>
    </w:p>
    <w:p w14:paraId="05958680" w14:textId="284F5ACD" w:rsidR="00CE0C11" w:rsidRDefault="00CE0C11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075B351B" w14:textId="38C07800" w:rsidR="000A2177" w:rsidRDefault="000A2177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4AC87C1B" w14:textId="77777777" w:rsidR="000A2177" w:rsidRDefault="000A2177" w:rsidP="00CE0C11">
      <w:pPr>
        <w:spacing w:line="240" w:lineRule="atLeast"/>
        <w:jc w:val="both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14:paraId="5455930C" w14:textId="77777777" w:rsidR="00CE0C11" w:rsidRDefault="00CE0C11" w:rsidP="00CE0C11">
      <w:pPr>
        <w:spacing w:line="240" w:lineRule="atLeast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  <w:r>
        <w:rPr>
          <w:rFonts w:ascii="Arial" w:hAnsi="Arial" w:cs="Arial"/>
          <w:b/>
          <w:sz w:val="22"/>
          <w:szCs w:val="22"/>
          <w:lang w:val="es-ES" w:eastAsia="es-ES"/>
        </w:rPr>
        <w:t>Las posibles soluciones alternativas regulatorias y no regulatorias</w:t>
      </w:r>
    </w:p>
    <w:p w14:paraId="71F71630" w14:textId="77777777" w:rsidR="00CE0C11" w:rsidRDefault="00CE0C11" w:rsidP="00CE0C11">
      <w:pPr>
        <w:spacing w:line="240" w:lineRule="atLeast"/>
        <w:jc w:val="both"/>
        <w:rPr>
          <w:rFonts w:ascii="Arial" w:hAnsi="Arial" w:cs="Arial"/>
          <w:b/>
          <w:sz w:val="22"/>
          <w:szCs w:val="22"/>
          <w:lang w:val="es-ES" w:eastAsia="es-ES"/>
        </w:rPr>
      </w:pPr>
    </w:p>
    <w:p w14:paraId="2F1B1FAE" w14:textId="77777777" w:rsidR="00CE0C11" w:rsidRDefault="00CE0C11" w:rsidP="00CE0C11">
      <w:pPr>
        <w:spacing w:line="240" w:lineRule="atLeast"/>
        <w:jc w:val="both"/>
        <w:rPr>
          <w:rFonts w:ascii="Arial" w:eastAsia="Cambria" w:hAnsi="Arial" w:cs="Arial"/>
          <w:sz w:val="22"/>
          <w:szCs w:val="22"/>
        </w:rPr>
      </w:pPr>
    </w:p>
    <w:p w14:paraId="6324ADAB" w14:textId="6779F932" w:rsidR="0081090F" w:rsidRDefault="00CE0C11" w:rsidP="009F7248">
      <w:pPr>
        <w:spacing w:line="240" w:lineRule="atLeast"/>
        <w:jc w:val="both"/>
      </w:pPr>
      <w:r>
        <w:rPr>
          <w:rFonts w:ascii="Arial" w:eastAsia="Cambria" w:hAnsi="Arial" w:cs="Arial"/>
          <w:sz w:val="22"/>
          <w:szCs w:val="22"/>
        </w:rPr>
        <w:t xml:space="preserve">Se considera que es una solución reflexionada y justificada en base a la </w:t>
      </w:r>
      <w:r w:rsidR="00BA6B64">
        <w:rPr>
          <w:rFonts w:ascii="Arial" w:eastAsia="Cambria" w:hAnsi="Arial" w:cs="Arial"/>
          <w:sz w:val="22"/>
          <w:szCs w:val="22"/>
        </w:rPr>
        <w:t>necesidad de</w:t>
      </w:r>
      <w:r w:rsidR="000A2177">
        <w:rPr>
          <w:rFonts w:ascii="Arial" w:eastAsia="Cambria" w:hAnsi="Arial" w:cs="Arial"/>
          <w:sz w:val="22"/>
          <w:szCs w:val="22"/>
        </w:rPr>
        <w:t xml:space="preserve"> actualización de los precios de las viviendas de protección social y de las viviendas tasadas, tal y como se ha señalado en los párrafos precedentes</w:t>
      </w:r>
      <w:r>
        <w:rPr>
          <w:rFonts w:ascii="Arial" w:eastAsia="Cambria" w:hAnsi="Arial" w:cs="Arial"/>
          <w:sz w:val="22"/>
          <w:szCs w:val="22"/>
        </w:rPr>
        <w:t xml:space="preserve">. </w:t>
      </w:r>
    </w:p>
    <w:sectPr w:rsidR="0081090F" w:rsidSect="00B174A3">
      <w:headerReference w:type="default" r:id="rId9"/>
      <w:headerReference w:type="first" r:id="rId10"/>
      <w:footerReference w:type="first" r:id="rId11"/>
      <w:pgSz w:w="11907" w:h="16840" w:code="9"/>
      <w:pgMar w:top="2835" w:right="1701" w:bottom="1418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FC171" w14:textId="77777777" w:rsidR="00CE0C11" w:rsidRDefault="00CE0C11">
      <w:r>
        <w:separator/>
      </w:r>
    </w:p>
  </w:endnote>
  <w:endnote w:type="continuationSeparator" w:id="0">
    <w:p w14:paraId="794E4A86" w14:textId="77777777" w:rsidR="00CE0C11" w:rsidRDefault="00CE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A857A" w14:textId="77777777" w:rsidR="00DD4B3D" w:rsidRDefault="00DD4B3D" w:rsidP="00DD4B3D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– San Sebastián, 1 – 01010 Vitoria-Gasteiz</w:t>
    </w:r>
  </w:p>
  <w:p w14:paraId="3EEF82D2" w14:textId="77777777" w:rsidR="00DD4B3D" w:rsidRDefault="00DD4B3D" w:rsidP="00DD4B3D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Tef. 012 </w:t>
    </w:r>
  </w:p>
  <w:p w14:paraId="057A828B" w14:textId="77777777" w:rsidR="000756A7" w:rsidRPr="00DD4B3D" w:rsidRDefault="000756A7" w:rsidP="00DD4B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A528" w14:textId="77777777" w:rsidR="00CE0C11" w:rsidRDefault="00CE0C11">
      <w:r>
        <w:separator/>
      </w:r>
    </w:p>
  </w:footnote>
  <w:footnote w:type="continuationSeparator" w:id="0">
    <w:p w14:paraId="79A8F0FB" w14:textId="77777777" w:rsidR="00CE0C11" w:rsidRDefault="00CE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3BEF" w14:textId="77777777" w:rsidR="000756A7" w:rsidRDefault="000756A7">
    <w:pPr>
      <w:pStyle w:val="Encabezado"/>
      <w:jc w:val="center"/>
    </w:pPr>
    <w:r>
      <w:rPr>
        <w:noProof/>
      </w:rPr>
      <w:object w:dxaOrig="11549" w:dyaOrig="1410" w14:anchorId="1416A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4pt" fillcolor="window">
          <v:imagedata r:id="rId1" o:title=""/>
        </v:shape>
        <o:OLEObject Type="Embed" ProgID="MSPhotoEd.3" ShapeID="_x0000_i1025" DrawAspect="Content" ObjectID="_1684304861" r:id="rId2"/>
      </w:object>
    </w:r>
  </w:p>
  <w:p w14:paraId="059FFF11" w14:textId="77777777" w:rsidR="000756A7" w:rsidRDefault="000756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9CE7" w14:textId="77777777" w:rsidR="000756A7" w:rsidRDefault="00B174A3" w:rsidP="00B174A3">
    <w:pPr>
      <w:pStyle w:val="Encabezado"/>
      <w:tabs>
        <w:tab w:val="clear" w:pos="4819"/>
        <w:tab w:val="clear" w:pos="9071"/>
      </w:tabs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F64D68" wp14:editId="5B047788">
              <wp:simplePos x="0" y="0"/>
              <wp:positionH relativeFrom="page">
                <wp:posOffset>4043680</wp:posOffset>
              </wp:positionH>
              <wp:positionV relativeFrom="page">
                <wp:posOffset>889000</wp:posOffset>
              </wp:positionV>
              <wp:extent cx="2374265" cy="548640"/>
              <wp:effectExtent l="0" t="0" r="0" b="3810"/>
              <wp:wrapSquare wrapText="bothSides"/>
              <wp:docPr id="1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D1C03" w14:textId="77777777" w:rsidR="005B6638" w:rsidRDefault="005E7B87" w:rsidP="00B174A3">
                          <w:pPr>
                            <w:pStyle w:val="Ttulo2"/>
                            <w:spacing w:after="35"/>
                            <w:ind w:right="6"/>
                          </w:pPr>
                          <w:r>
                            <w:t xml:space="preserve">DEPARTAMENTO DE PLANIFICACIÓN TERRITORIAL, </w:t>
                          </w:r>
                          <w:r w:rsidR="007532FA">
                            <w:t>VIVIENDA</w:t>
                          </w:r>
                          <w:r w:rsidR="005B6638" w:rsidRPr="005B6638">
                            <w:t xml:space="preserve"> </w:t>
                          </w:r>
                          <w:r>
                            <w:t>Y TRANSPORTES</w:t>
                          </w:r>
                        </w:p>
                        <w:p w14:paraId="1FD87675" w14:textId="77777777" w:rsidR="005B6638" w:rsidRDefault="005B6638" w:rsidP="00B174A3">
                          <w:pPr>
                            <w:spacing w:before="35"/>
                            <w:ind w:right="6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64D68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318.4pt;margin-top:70pt;width:186.9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Ol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" o:allowincell="f" filled="f" stroked="f">
              <v:textbox>
                <w:txbxContent>
                  <w:p w14:paraId="276D1C03" w14:textId="77777777" w:rsidR="005B6638" w:rsidRDefault="005E7B87" w:rsidP="00B174A3">
                    <w:pPr>
                      <w:pStyle w:val="Ttulo2"/>
                      <w:spacing w:after="35"/>
                      <w:ind w:right="6"/>
                    </w:pPr>
                    <w:r>
                      <w:t xml:space="preserve">DEPARTAMENTO DE PLANIFICACIÓN TERRITORIAL, </w:t>
                    </w:r>
                    <w:r w:rsidR="007532FA">
                      <w:t>VIVIENDA</w:t>
                    </w:r>
                    <w:r w:rsidR="005B6638" w:rsidRPr="005B6638">
                      <w:t xml:space="preserve"> </w:t>
                    </w:r>
                    <w:r>
                      <w:t>Y TRANSPORTES</w:t>
                    </w:r>
                  </w:p>
                  <w:p w14:paraId="1FD87675" w14:textId="77777777" w:rsidR="005B6638" w:rsidRDefault="005B6638" w:rsidP="00B174A3">
                    <w:pPr>
                      <w:spacing w:before="35"/>
                      <w:ind w:right="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Vivienda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6A73B2" wp14:editId="6FE564F4">
              <wp:simplePos x="0" y="0"/>
              <wp:positionH relativeFrom="page">
                <wp:posOffset>1912620</wp:posOffset>
              </wp:positionH>
              <wp:positionV relativeFrom="page">
                <wp:posOffset>891540</wp:posOffset>
              </wp:positionV>
              <wp:extent cx="1939925" cy="548640"/>
              <wp:effectExtent l="0" t="0" r="0" b="3810"/>
              <wp:wrapSquare wrapText="bothSides"/>
              <wp:docPr id="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18F59" w14:textId="77777777" w:rsidR="005B6638" w:rsidRDefault="007532FA" w:rsidP="00B174A3">
                          <w:pPr>
                            <w:pStyle w:val="Ttulo2"/>
                            <w:spacing w:after="35"/>
                          </w:pPr>
                          <w:r>
                            <w:t>L</w:t>
                          </w:r>
                          <w:r w:rsidR="005E7B87">
                            <w:t xml:space="preserve">URRALDE PLANGINTZA, </w:t>
                          </w:r>
                          <w:r>
                            <w:t>ETXEBIZITZA</w:t>
                          </w:r>
                          <w:r w:rsidR="003479D6">
                            <w:t xml:space="preserve"> </w:t>
                          </w:r>
                          <w:r w:rsidR="005E7B87">
                            <w:t xml:space="preserve">ETA GARRAIO </w:t>
                          </w:r>
                          <w:r w:rsidR="003479D6">
                            <w:t>SAILA</w:t>
                          </w:r>
                          <w:r w:rsidR="005B6638" w:rsidRPr="005B6638">
                            <w:t xml:space="preserve"> </w:t>
                          </w:r>
                        </w:p>
                        <w:p w14:paraId="7B35318E" w14:textId="77777777" w:rsidR="005B6638" w:rsidRPr="00720AE2" w:rsidRDefault="005B6638" w:rsidP="00B174A3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20AE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Etxebizitza Sailburuordetza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A73B2" id="Text Box 81" o:spid="_x0000_s1027" type="#_x0000_t202" style="position:absolute;left:0;text-align:left;margin-left:150.6pt;margin-top:70.2pt;width:152.7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FvuQ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" filled="f" stroked="f">
              <v:textbox>
                <w:txbxContent>
                  <w:p w14:paraId="50918F59" w14:textId="77777777" w:rsidR="005B6638" w:rsidRDefault="007532FA" w:rsidP="00B174A3">
                    <w:pPr>
                      <w:pStyle w:val="Ttulo2"/>
                      <w:spacing w:after="35"/>
                    </w:pPr>
                    <w:r>
                      <w:t>L</w:t>
                    </w:r>
                    <w:r w:rsidR="005E7B87">
                      <w:t xml:space="preserve">URRALDE PLANGINTZA, </w:t>
                    </w:r>
                    <w:r>
                      <w:t>ETXEBIZITZA</w:t>
                    </w:r>
                    <w:r w:rsidR="003479D6">
                      <w:t xml:space="preserve"> </w:t>
                    </w:r>
                    <w:r w:rsidR="005E7B87">
                      <w:t xml:space="preserve">ETA GARRAIO </w:t>
                    </w:r>
                    <w:r w:rsidR="003479D6">
                      <w:t>SAILA</w:t>
                    </w:r>
                    <w:r w:rsidR="005B6638" w:rsidRPr="005B6638">
                      <w:t xml:space="preserve"> </w:t>
                    </w:r>
                  </w:p>
                  <w:p w14:paraId="7B35318E" w14:textId="77777777" w:rsidR="005B6638" w:rsidRPr="00720AE2" w:rsidRDefault="005B6638" w:rsidP="00B174A3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20AE2">
                      <w:rPr>
                        <w:rFonts w:ascii="Arial" w:hAnsi="Arial" w:cs="Arial"/>
                        <w:sz w:val="14"/>
                        <w:szCs w:val="14"/>
                      </w:rPr>
                      <w:t>Etxebizitza Sailburuordetza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756A7">
      <w:rPr>
        <w:rFonts w:ascii="Arial" w:hAnsi="Arial"/>
        <w:noProof/>
        <w:sz w:val="16"/>
      </w:rPr>
      <w:object w:dxaOrig="18028" w:dyaOrig="2235" w14:anchorId="4E5ED7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7.3pt" fillcolor="window">
          <v:imagedata r:id="rId1" o:title=""/>
        </v:shape>
        <o:OLEObject Type="Embed" ProgID="MSPhotoEd.3" ShapeID="_x0000_i1026" DrawAspect="Content" ObjectID="_16843048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11"/>
    <w:rsid w:val="0002725F"/>
    <w:rsid w:val="000756A7"/>
    <w:rsid w:val="00080D53"/>
    <w:rsid w:val="000A2177"/>
    <w:rsid w:val="00122AFF"/>
    <w:rsid w:val="00130C98"/>
    <w:rsid w:val="00164C65"/>
    <w:rsid w:val="00181679"/>
    <w:rsid w:val="00196646"/>
    <w:rsid w:val="001A1103"/>
    <w:rsid w:val="001D3F6A"/>
    <w:rsid w:val="002159F6"/>
    <w:rsid w:val="00240035"/>
    <w:rsid w:val="0025212F"/>
    <w:rsid w:val="002A43C9"/>
    <w:rsid w:val="002C5CA9"/>
    <w:rsid w:val="003208D7"/>
    <w:rsid w:val="00340B40"/>
    <w:rsid w:val="003479D6"/>
    <w:rsid w:val="00463974"/>
    <w:rsid w:val="004B177F"/>
    <w:rsid w:val="004C16BB"/>
    <w:rsid w:val="004F570E"/>
    <w:rsid w:val="0052325B"/>
    <w:rsid w:val="00563EF5"/>
    <w:rsid w:val="00572BCF"/>
    <w:rsid w:val="005B0E4E"/>
    <w:rsid w:val="005B6638"/>
    <w:rsid w:val="005E7B87"/>
    <w:rsid w:val="006314A3"/>
    <w:rsid w:val="00646D7D"/>
    <w:rsid w:val="006653E2"/>
    <w:rsid w:val="00676F21"/>
    <w:rsid w:val="006A00B9"/>
    <w:rsid w:val="006A011E"/>
    <w:rsid w:val="006B12E9"/>
    <w:rsid w:val="006F39CA"/>
    <w:rsid w:val="006F563E"/>
    <w:rsid w:val="007532FA"/>
    <w:rsid w:val="00772F9E"/>
    <w:rsid w:val="007A2CE1"/>
    <w:rsid w:val="007C58B2"/>
    <w:rsid w:val="007D742B"/>
    <w:rsid w:val="007F6261"/>
    <w:rsid w:val="0081090F"/>
    <w:rsid w:val="0084263B"/>
    <w:rsid w:val="00844ED8"/>
    <w:rsid w:val="00855FCA"/>
    <w:rsid w:val="008B424E"/>
    <w:rsid w:val="008E7334"/>
    <w:rsid w:val="00903526"/>
    <w:rsid w:val="00911A4D"/>
    <w:rsid w:val="00947ABA"/>
    <w:rsid w:val="009A6775"/>
    <w:rsid w:val="009A72AE"/>
    <w:rsid w:val="009E1CCB"/>
    <w:rsid w:val="009F152B"/>
    <w:rsid w:val="009F7248"/>
    <w:rsid w:val="009F7A44"/>
    <w:rsid w:val="00A0175F"/>
    <w:rsid w:val="00A57510"/>
    <w:rsid w:val="00A61616"/>
    <w:rsid w:val="00A91F9B"/>
    <w:rsid w:val="00AB2F2C"/>
    <w:rsid w:val="00B05BC6"/>
    <w:rsid w:val="00B174A3"/>
    <w:rsid w:val="00B37558"/>
    <w:rsid w:val="00B816CA"/>
    <w:rsid w:val="00BA5A98"/>
    <w:rsid w:val="00BA6B64"/>
    <w:rsid w:val="00BD5402"/>
    <w:rsid w:val="00BD5EA3"/>
    <w:rsid w:val="00BF6063"/>
    <w:rsid w:val="00C073E8"/>
    <w:rsid w:val="00C23232"/>
    <w:rsid w:val="00C43A0C"/>
    <w:rsid w:val="00C44A62"/>
    <w:rsid w:val="00C57170"/>
    <w:rsid w:val="00CE0C11"/>
    <w:rsid w:val="00D01473"/>
    <w:rsid w:val="00D0720A"/>
    <w:rsid w:val="00D26585"/>
    <w:rsid w:val="00D36F15"/>
    <w:rsid w:val="00D509E5"/>
    <w:rsid w:val="00D76330"/>
    <w:rsid w:val="00D9447D"/>
    <w:rsid w:val="00DD4B3D"/>
    <w:rsid w:val="00E26002"/>
    <w:rsid w:val="00E65A9B"/>
    <w:rsid w:val="00E76CF4"/>
    <w:rsid w:val="00EB6140"/>
    <w:rsid w:val="00ED368B"/>
    <w:rsid w:val="00F27A0A"/>
    <w:rsid w:val="00F31CF7"/>
    <w:rsid w:val="00F370F8"/>
    <w:rsid w:val="00F655F1"/>
    <w:rsid w:val="00F66256"/>
    <w:rsid w:val="00F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088B1440"/>
  <w15:docId w15:val="{93781D74-3816-43AC-B7C1-BECA9E7A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11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4"/>
      <w:szCs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iCs/>
      <w:sz w:val="13"/>
      <w:szCs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link w:val="TextoindependienteCar"/>
    <w:rsid w:val="004F570E"/>
    <w:pPr>
      <w:spacing w:before="240" w:after="240" w:line="240" w:lineRule="atLeast"/>
      <w:jc w:val="both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rsid w:val="00DD4B3D"/>
    <w:rPr>
      <w:rFonts w:cs="Shruti"/>
      <w:sz w:val="24"/>
      <w:szCs w:val="24"/>
      <w:lang w:val="es-ES_tradnl" w:eastAsia="es-ES_tradnl" w:bidi="gu-IN"/>
    </w:rPr>
  </w:style>
  <w:style w:type="character" w:customStyle="1" w:styleId="TextoindependienteCar">
    <w:name w:val="Texto independiente Car"/>
    <w:basedOn w:val="Fuentedeprrafopredeter"/>
    <w:link w:val="Textoindependiente"/>
    <w:rsid w:val="00855FCA"/>
    <w:rPr>
      <w:rFonts w:cs="Shruti"/>
      <w:sz w:val="24"/>
      <w:szCs w:val="24"/>
      <w:lang w:eastAsia="es-ES_tradnl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\plantillas\departamentos\dpto%20Medio%20Ambiente,%20Planificaci&#243;n%20Territorial%20y%20Vivienda\dpto\Plantilla%20Viceconsejeria%20%20tfno.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2A1F821DE80947BA2A4519960AB5A4" ma:contentTypeVersion="11" ma:contentTypeDescription="Crear nuevo documento." ma:contentTypeScope="" ma:versionID="4b1ed6eb4197d9795f154af3e39f3f28">
  <xsd:schema xmlns:xsd="http://www.w3.org/2001/XMLSchema" xmlns:xs="http://www.w3.org/2001/XMLSchema" xmlns:p="http://schemas.microsoft.com/office/2006/metadata/properties" xmlns:ns2="45ed0f28-a515-486d-8933-8f944b73dba6" xmlns:ns3="a0eed0c6-a2f9-4b40-929b-2662350a63c6" targetNamespace="http://schemas.microsoft.com/office/2006/metadata/properties" ma:root="true" ma:fieldsID="6d06f50ce9f63a316c2f67ce6577e14b" ns2:_="" ns3:_="">
    <xsd:import namespace="45ed0f28-a515-486d-8933-8f944b73dba6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d0f28-a515-486d-8933-8f944b73d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62CDF-BE08-4580-9235-045373F261EF}">
  <ds:schemaRefs>
    <ds:schemaRef ds:uri="http://purl.org/dc/elements/1.1/"/>
    <ds:schemaRef ds:uri="45ed0f28-a515-486d-8933-8f944b73dba6"/>
    <ds:schemaRef ds:uri="a0eed0c6-a2f9-4b40-929b-2662350a63c6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2F1ACC-DD85-4B32-BE15-7B02037867E8}"/>
</file>

<file path=customXml/itemProps3.xml><?xml version="1.0" encoding="utf-8"?>
<ds:datastoreItem xmlns:ds="http://schemas.openxmlformats.org/officeDocument/2006/customXml" ds:itemID="{172901CD-C9B5-4CFC-9674-25096B7FE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Viceconsejeria  tfno.012.dotx</Template>
  <TotalTime>106</TotalTime>
  <Pages>3</Pages>
  <Words>1100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Bengoa Bilbao, Estíbaliz</dc:creator>
  <cp:lastModifiedBy>Bengoa Bilbao, Estíbaliz</cp:lastModifiedBy>
  <cp:revision>6</cp:revision>
  <cp:lastPrinted>2021-05-25T13:42:00Z</cp:lastPrinted>
  <dcterms:created xsi:type="dcterms:W3CDTF">2021-05-25T12:52:00Z</dcterms:created>
  <dcterms:modified xsi:type="dcterms:W3CDTF">2021-06-04T07:41:00Z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0x010100712A1F821DE80947BA2A4519960AB5A4</vt:lpwstr>
  </property>
</Properties>
</file>